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47796" w14:textId="3238ECE1" w:rsidR="00F54A6E" w:rsidRPr="004F70AD" w:rsidRDefault="00F54A6E" w:rsidP="00F54A6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ko-KR"/>
        </w:rPr>
      </w:pPr>
      <w:r w:rsidRPr="004F70AD">
        <w:rPr>
          <w:rFonts w:ascii="Arial" w:hAnsi="Arial"/>
          <w:b/>
          <w:noProof/>
          <w:sz w:val="24"/>
        </w:rPr>
        <w:t>3GPP TSG-RAN WG2 Meeting #11</w:t>
      </w:r>
      <w:r w:rsidR="00B37B2D">
        <w:rPr>
          <w:rFonts w:ascii="Arial" w:hAnsi="Arial"/>
          <w:b/>
          <w:noProof/>
          <w:sz w:val="24"/>
        </w:rPr>
        <w:t>6bis-</w:t>
      </w:r>
      <w:r w:rsidR="0068044F">
        <w:rPr>
          <w:rFonts w:ascii="Arial" w:hAnsi="Arial"/>
          <w:b/>
          <w:noProof/>
          <w:sz w:val="24"/>
        </w:rPr>
        <w:t>e</w:t>
      </w:r>
      <w:r w:rsidRPr="004F70AD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 w:hint="eastAsia"/>
          <w:b/>
          <w:i/>
          <w:noProof/>
          <w:sz w:val="28"/>
          <w:lang w:eastAsia="ko-KR"/>
        </w:rPr>
        <w:t>R2-</w:t>
      </w:r>
      <w:r w:rsidR="00990CBD" w:rsidRPr="00990CBD">
        <w:t xml:space="preserve"> </w:t>
      </w:r>
      <w:r w:rsidR="003B1343">
        <w:rPr>
          <w:rFonts w:ascii="Arial" w:hAnsi="Arial"/>
          <w:b/>
          <w:i/>
          <w:noProof/>
          <w:sz w:val="28"/>
          <w:lang w:eastAsia="ko-KR"/>
        </w:rPr>
        <w:t>2201626</w:t>
      </w:r>
    </w:p>
    <w:p w14:paraId="243BA821" w14:textId="3E459566" w:rsidR="00A62464" w:rsidRDefault="00A62464" w:rsidP="00A624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ko-KR"/>
        </w:rPr>
      </w:pPr>
      <w:r w:rsidRPr="002C2514">
        <w:rPr>
          <w:rFonts w:ascii="Arial" w:hAnsi="Arial"/>
          <w:b/>
          <w:noProof/>
          <w:sz w:val="24"/>
        </w:rPr>
        <w:t xml:space="preserve">Online, </w:t>
      </w:r>
      <w:r w:rsidR="00B37B2D">
        <w:rPr>
          <w:rFonts w:ascii="Arial" w:hAnsi="Arial"/>
          <w:b/>
          <w:noProof/>
          <w:sz w:val="24"/>
        </w:rPr>
        <w:t>Jan</w:t>
      </w:r>
      <w:r w:rsidRPr="002C2514">
        <w:rPr>
          <w:rFonts w:ascii="Arial" w:hAnsi="Arial"/>
          <w:b/>
          <w:noProof/>
          <w:sz w:val="24"/>
        </w:rPr>
        <w:t xml:space="preserve"> 1</w:t>
      </w:r>
      <w:r w:rsidR="00B37B2D">
        <w:rPr>
          <w:rFonts w:ascii="Arial" w:hAnsi="Arial"/>
          <w:b/>
          <w:noProof/>
          <w:sz w:val="24"/>
        </w:rPr>
        <w:t>7</w:t>
      </w:r>
      <w:r w:rsidRPr="002C2514">
        <w:rPr>
          <w:rFonts w:ascii="Arial" w:hAnsi="Arial"/>
          <w:b/>
          <w:noProof/>
          <w:sz w:val="24"/>
        </w:rPr>
        <w:t xml:space="preserve"> – </w:t>
      </w:r>
      <w:r w:rsidR="00B37B2D">
        <w:rPr>
          <w:rFonts w:ascii="Arial" w:hAnsi="Arial"/>
          <w:b/>
          <w:noProof/>
          <w:sz w:val="24"/>
        </w:rPr>
        <w:t>Jan</w:t>
      </w:r>
      <w:r w:rsidRPr="002C2514">
        <w:rPr>
          <w:rFonts w:ascii="Arial" w:hAnsi="Arial"/>
          <w:b/>
          <w:noProof/>
          <w:sz w:val="24"/>
        </w:rPr>
        <w:t xml:space="preserve"> 2</w:t>
      </w:r>
      <w:r w:rsidR="00B37B2D">
        <w:rPr>
          <w:rFonts w:ascii="Arial" w:hAnsi="Arial"/>
          <w:b/>
          <w:noProof/>
          <w:sz w:val="24"/>
        </w:rPr>
        <w:t>5</w:t>
      </w:r>
      <w:r w:rsidRPr="002C2514">
        <w:rPr>
          <w:rFonts w:ascii="Arial" w:hAnsi="Arial"/>
          <w:b/>
          <w:noProof/>
          <w:sz w:val="24"/>
        </w:rPr>
        <w:t>, 202</w:t>
      </w:r>
      <w:r w:rsidR="00B37B2D">
        <w:rPr>
          <w:rFonts w:ascii="Arial" w:hAnsi="Arial"/>
          <w:b/>
          <w:noProof/>
          <w:sz w:val="24"/>
        </w:rPr>
        <w:t>2</w:t>
      </w:r>
      <w:r w:rsidRPr="00815EC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1DF9E308" w14:textId="77777777" w:rsidR="00D4259F" w:rsidRDefault="00D4259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168775D0" w14:textId="74776CEA"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it-IT" w:eastAsia="ko-KR"/>
        </w:rPr>
        <w:t>8</w:t>
      </w:r>
      <w:r>
        <w:rPr>
          <w:rFonts w:ascii="Arial" w:hAnsi="Arial" w:cs="Arial" w:hint="eastAsia"/>
          <w:b/>
          <w:sz w:val="28"/>
          <w:szCs w:val="28"/>
          <w:lang w:val="it-IT" w:eastAsia="ko-KR"/>
        </w:rPr>
        <w:t>.</w:t>
      </w:r>
      <w:r w:rsidR="0038091A">
        <w:rPr>
          <w:rFonts w:ascii="Arial" w:hAnsi="Arial" w:cs="Arial"/>
          <w:b/>
          <w:sz w:val="28"/>
          <w:szCs w:val="28"/>
          <w:lang w:val="it-IT" w:eastAsia="ko-KR"/>
        </w:rPr>
        <w:t>1</w:t>
      </w:r>
      <w:r w:rsidR="002F056D">
        <w:rPr>
          <w:rFonts w:ascii="Arial" w:hAnsi="Arial" w:cs="Arial"/>
          <w:b/>
          <w:sz w:val="28"/>
          <w:szCs w:val="28"/>
          <w:lang w:val="it-IT" w:eastAsia="ko-KR"/>
        </w:rPr>
        <w:t>4</w:t>
      </w:r>
      <w:r>
        <w:rPr>
          <w:rFonts w:ascii="Arial" w:hAnsi="Arial" w:cs="Arial"/>
          <w:b/>
          <w:sz w:val="28"/>
          <w:szCs w:val="28"/>
          <w:lang w:val="it-IT" w:eastAsia="ko-KR"/>
        </w:rPr>
        <w:t>.</w:t>
      </w:r>
      <w:r w:rsidR="0038091A">
        <w:rPr>
          <w:rFonts w:ascii="Arial" w:hAnsi="Arial" w:cs="Arial"/>
          <w:b/>
          <w:sz w:val="28"/>
          <w:szCs w:val="28"/>
          <w:lang w:val="it-IT" w:eastAsia="ko-KR"/>
        </w:rPr>
        <w:t>2</w:t>
      </w:r>
    </w:p>
    <w:p w14:paraId="65BF601C" w14:textId="77777777"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14:paraId="79D7112C" w14:textId="59C9E2D3"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2F056D">
        <w:rPr>
          <w:rFonts w:ascii="Arial" w:hAnsi="Arial" w:cs="Arial"/>
          <w:b/>
          <w:noProof/>
          <w:sz w:val="28"/>
          <w:szCs w:val="28"/>
          <w:lang w:val="en-US" w:eastAsia="ko-KR"/>
        </w:rPr>
        <w:t>Discussion on RV QoE</w:t>
      </w:r>
    </w:p>
    <w:p w14:paraId="4ABAC09E" w14:textId="77777777"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Discussion and Decision</w:t>
      </w:r>
    </w:p>
    <w:p w14:paraId="797C3C25" w14:textId="77777777" w:rsidR="00D4259F" w:rsidRDefault="00B02523">
      <w:pPr>
        <w:pStyle w:val="1"/>
        <w:rPr>
          <w:rFonts w:ascii="Times New Roman" w:hAnsi="Times New Roman"/>
          <w:lang w:val="en-US" w:eastAsia="ko-KR"/>
        </w:rPr>
      </w:pPr>
      <w:r>
        <w:rPr>
          <w:rFonts w:hint="eastAsia"/>
          <w:lang w:val="en-US" w:eastAsia="ko-KR"/>
        </w:rPr>
        <w:t>1. Introduction</w:t>
      </w:r>
    </w:p>
    <w:p w14:paraId="2E1C53F9" w14:textId="226760AD" w:rsidR="00C57171" w:rsidRDefault="002E1428" w:rsidP="00103042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38091A">
        <w:rPr>
          <w:lang w:eastAsia="ko-KR"/>
        </w:rPr>
        <w:t xml:space="preserve">we discuss </w:t>
      </w:r>
      <w:r w:rsidR="002F056D">
        <w:rPr>
          <w:lang w:eastAsia="ko-KR"/>
        </w:rPr>
        <w:t>the RAN visible QoE</w:t>
      </w:r>
      <w:r w:rsidR="00C50075">
        <w:rPr>
          <w:lang w:eastAsia="ko-KR"/>
        </w:rPr>
        <w:t>.</w:t>
      </w:r>
    </w:p>
    <w:p w14:paraId="6C652C50" w14:textId="6D70F653" w:rsidR="00FD192F" w:rsidRDefault="00B02523" w:rsidP="005E21C0">
      <w:pPr>
        <w:pStyle w:val="1"/>
        <w:spacing w:line="300" w:lineRule="atLeast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 xml:space="preserve">. </w:t>
      </w:r>
      <w:r>
        <w:rPr>
          <w:rFonts w:hint="eastAsia"/>
          <w:lang w:val="en-US" w:eastAsia="ko-KR"/>
        </w:rPr>
        <w:t>Discussion</w:t>
      </w:r>
    </w:p>
    <w:p w14:paraId="3A10BF47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textAlignment w:val="baseline"/>
        <w:rPr>
          <w:rFonts w:ascii="Calibri" w:hAnsi="Calibri" w:cs="Calibri"/>
          <w:bCs/>
          <w:i/>
          <w:sz w:val="22"/>
          <w:szCs w:val="22"/>
          <w:lang w:eastAsia="zh-CN"/>
        </w:rPr>
      </w:pPr>
      <w:r w:rsidRPr="00472664">
        <w:rPr>
          <w:rFonts w:ascii="Calibri" w:hAnsi="Calibri" w:cs="Calibri"/>
          <w:bCs/>
          <w:i/>
          <w:sz w:val="22"/>
          <w:szCs w:val="22"/>
          <w:lang w:eastAsia="zh-CN"/>
        </w:rPr>
        <w:t>RAN3 has made certain agreements on RAN visible QoE in R3#114e, of which the following might be of interest to RAN2 in their specification work.</w:t>
      </w:r>
    </w:p>
    <w:p w14:paraId="2F86C6DC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b/>
          <w:bCs/>
          <w:i/>
          <w:u w:val="single"/>
          <w:lang w:eastAsia="zh-CN"/>
        </w:rPr>
      </w:pPr>
      <w:r w:rsidRPr="00472664">
        <w:rPr>
          <w:rFonts w:ascii="Calibri" w:hAnsi="Calibri" w:cs="Calibri"/>
          <w:b/>
          <w:bCs/>
          <w:i/>
          <w:u w:val="single"/>
          <w:lang w:eastAsia="zh-CN"/>
        </w:rPr>
        <w:t>RVQoE metrics</w:t>
      </w:r>
    </w:p>
    <w:p w14:paraId="6087A503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i/>
          <w:color w:val="00B050"/>
          <w:lang w:eastAsia="zh-CN"/>
        </w:rPr>
      </w:pPr>
      <w:r w:rsidRPr="00472664">
        <w:rPr>
          <w:rFonts w:ascii="Calibri" w:hAnsi="Calibri" w:cs="Calibri"/>
          <w:i/>
          <w:color w:val="00B050"/>
          <w:lang w:eastAsia="zh-CN"/>
        </w:rPr>
        <w:t>Interaction latency or comparable quality viewport switching latency metric is NOT considered as a RAN visible QoE metric in Rel-17</w:t>
      </w:r>
    </w:p>
    <w:p w14:paraId="4ED23BAE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i/>
          <w:color w:val="00B050"/>
          <w:lang w:eastAsia="zh-CN"/>
        </w:rPr>
      </w:pPr>
      <w:r w:rsidRPr="00472664">
        <w:rPr>
          <w:rFonts w:ascii="Calibri" w:hAnsi="Calibri" w:cs="Calibri"/>
          <w:i/>
          <w:color w:val="00B050"/>
          <w:lang w:eastAsia="zh-CN"/>
        </w:rPr>
        <w:t xml:space="preserve">Buffer level is confirmed as a RAN visible QoE metric for DASH and VR service types </w:t>
      </w:r>
    </w:p>
    <w:p w14:paraId="72486903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i/>
          <w:color w:val="00B050"/>
          <w:lang w:eastAsia="zh-CN"/>
        </w:rPr>
      </w:pPr>
      <w:r w:rsidRPr="00472664">
        <w:rPr>
          <w:rFonts w:ascii="Calibri" w:hAnsi="Calibri" w:cs="Calibri"/>
          <w:i/>
          <w:color w:val="00B050"/>
          <w:lang w:eastAsia="zh-CN"/>
        </w:rPr>
        <w:t>Playout delay for media startup is confirmed as a RAN visible QoE metric for DASH and VR service types</w:t>
      </w:r>
    </w:p>
    <w:p w14:paraId="5EF17A05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b/>
          <w:bCs/>
          <w:i/>
          <w:u w:val="single"/>
          <w:lang w:eastAsia="zh-CN"/>
        </w:rPr>
      </w:pPr>
      <w:r w:rsidRPr="00472664">
        <w:rPr>
          <w:rFonts w:ascii="Calibri" w:hAnsi="Calibri" w:cs="Calibri"/>
          <w:b/>
          <w:bCs/>
          <w:i/>
          <w:u w:val="single"/>
          <w:lang w:eastAsia="zh-CN"/>
        </w:rPr>
        <w:t>RVQoE configuration</w:t>
      </w:r>
    </w:p>
    <w:p w14:paraId="70E2FB3D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i/>
          <w:color w:val="00B050"/>
          <w:lang w:eastAsia="zh-CN"/>
        </w:rPr>
      </w:pPr>
      <w:r w:rsidRPr="00472664">
        <w:rPr>
          <w:rFonts w:ascii="Calibri" w:hAnsi="Calibri" w:cs="Calibri"/>
          <w:i/>
          <w:color w:val="00B050"/>
          <w:lang w:eastAsia="zh-CN"/>
        </w:rPr>
        <w:t>RAN Visible QoE and legacy QoE can be configured together or separately. In case RAN visible QoE is configured separately, it can be configured only after configuring legacy QoE.</w:t>
      </w:r>
    </w:p>
    <w:p w14:paraId="4ECD42CE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i/>
          <w:color w:val="00B050"/>
          <w:lang w:eastAsia="zh-CN"/>
        </w:rPr>
      </w:pPr>
      <w:r w:rsidRPr="00472664">
        <w:rPr>
          <w:rFonts w:ascii="Calibri" w:hAnsi="Calibri" w:cs="Calibri"/>
          <w:i/>
          <w:color w:val="00B050"/>
          <w:lang w:eastAsia="zh-CN"/>
        </w:rPr>
        <w:t xml:space="preserve">NG-RAN can release a list of RAN visible QoE configurations while not releasing the corresponding legacy QoE configurations  </w:t>
      </w:r>
    </w:p>
    <w:p w14:paraId="3388A530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i/>
          <w:color w:val="00B050"/>
          <w:lang w:eastAsia="zh-CN"/>
        </w:rPr>
      </w:pPr>
      <w:r w:rsidRPr="00472664">
        <w:rPr>
          <w:rFonts w:ascii="Calibri" w:hAnsi="Calibri" w:cs="Calibri"/>
          <w:i/>
          <w:color w:val="00B050"/>
          <w:lang w:eastAsia="zh-CN"/>
        </w:rPr>
        <w:t>If the legacy QoE configuration is released, the corresponding RAN visible QoE configuration is released as well</w:t>
      </w:r>
    </w:p>
    <w:p w14:paraId="1C35FFCD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b/>
          <w:bCs/>
          <w:i/>
          <w:color w:val="00B050"/>
          <w:lang w:eastAsia="zh-CN"/>
        </w:rPr>
      </w:pPr>
      <w:r w:rsidRPr="00472664">
        <w:rPr>
          <w:rFonts w:ascii="Calibri" w:hAnsi="Calibri" w:cs="Calibri"/>
          <w:i/>
          <w:color w:val="00B050"/>
          <w:lang w:eastAsia="zh-CN"/>
        </w:rPr>
        <w:t>RAN visible QoE configuration can include at least the RAN visible QoE metrics to be reported, service type and a measurement ID for the RAN visible QoE. Whether existing IEs can be reused for service type and measurement ID and the signaling design is up to RAN2</w:t>
      </w:r>
    </w:p>
    <w:p w14:paraId="5EA31B63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b/>
          <w:bCs/>
          <w:i/>
          <w:color w:val="00B050"/>
          <w:lang w:eastAsia="zh-CN"/>
        </w:rPr>
      </w:pPr>
      <w:r w:rsidRPr="00472664">
        <w:rPr>
          <w:rFonts w:ascii="Calibri" w:hAnsi="Calibri" w:cs="Calibri"/>
          <w:i/>
          <w:color w:val="00B050"/>
          <w:lang w:eastAsia="zh-CN"/>
        </w:rPr>
        <w:t>There is no need to consider Start Time, Duration and Sample Percentage in the RAN Visible QoE configuration in Rel-17</w:t>
      </w:r>
    </w:p>
    <w:p w14:paraId="325E7C7B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b/>
          <w:bCs/>
          <w:i/>
          <w:u w:val="single"/>
          <w:lang w:eastAsia="zh-CN"/>
        </w:rPr>
      </w:pPr>
      <w:r w:rsidRPr="00472664">
        <w:rPr>
          <w:rFonts w:ascii="Calibri" w:hAnsi="Calibri" w:cs="Calibri"/>
          <w:b/>
          <w:bCs/>
          <w:i/>
          <w:u w:val="single"/>
          <w:lang w:eastAsia="zh-CN"/>
        </w:rPr>
        <w:t>RVQoE reporting</w:t>
      </w:r>
    </w:p>
    <w:p w14:paraId="6DDA5A84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contextualSpacing/>
        <w:jc w:val="both"/>
        <w:textAlignment w:val="baseline"/>
        <w:rPr>
          <w:rFonts w:ascii="Calibri" w:hAnsi="Calibri" w:cs="Calibri"/>
          <w:i/>
          <w:color w:val="00B050"/>
          <w:szCs w:val="22"/>
          <w:lang w:eastAsia="zh-CN"/>
        </w:rPr>
      </w:pPr>
      <w:r w:rsidRPr="00472664">
        <w:rPr>
          <w:rFonts w:ascii="Calibri" w:hAnsi="Calibri" w:cs="Calibri"/>
          <w:i/>
          <w:color w:val="00B050"/>
          <w:szCs w:val="22"/>
          <w:lang w:eastAsia="zh-CN"/>
        </w:rPr>
        <w:t>RAN3 should discuss whether the existing identified RAN visible QoE metrics (or values if agreed) justifies the need of a separate reporting periodicity for RAN visible QoE</w:t>
      </w:r>
    </w:p>
    <w:p w14:paraId="6CCF6001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contextualSpacing/>
        <w:jc w:val="both"/>
        <w:textAlignment w:val="baseline"/>
        <w:rPr>
          <w:rFonts w:ascii="Calibri" w:hAnsi="Calibri" w:cs="Calibri"/>
          <w:i/>
          <w:color w:val="00B050"/>
          <w:szCs w:val="22"/>
          <w:lang w:eastAsia="zh-CN"/>
        </w:rPr>
      </w:pPr>
    </w:p>
    <w:p w14:paraId="6AA2EF7C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contextualSpacing/>
        <w:jc w:val="both"/>
        <w:textAlignment w:val="baseline"/>
        <w:rPr>
          <w:rFonts w:ascii="Calibri" w:hAnsi="Calibri" w:cs="Calibri"/>
          <w:i/>
          <w:color w:val="00B050"/>
          <w:szCs w:val="22"/>
          <w:lang w:eastAsia="zh-CN"/>
        </w:rPr>
      </w:pPr>
      <w:r w:rsidRPr="00472664">
        <w:rPr>
          <w:rFonts w:ascii="Calibri" w:hAnsi="Calibri" w:cs="Calibri"/>
          <w:i/>
          <w:color w:val="00B050"/>
          <w:szCs w:val="22"/>
          <w:lang w:eastAsia="zh-CN"/>
        </w:rPr>
        <w:t>RAN3’s decision on whether to have a different reporting periodicity for RAN visible QoE is independent of RAN2’s decision on which SRB to use for RAN visible QoE</w:t>
      </w:r>
    </w:p>
    <w:p w14:paraId="07CA6242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contextualSpacing/>
        <w:jc w:val="both"/>
        <w:textAlignment w:val="baseline"/>
        <w:rPr>
          <w:rFonts w:ascii="Calibri" w:hAnsi="Calibri" w:cs="Calibri"/>
          <w:i/>
          <w:color w:val="00B050"/>
          <w:szCs w:val="22"/>
          <w:lang w:eastAsia="zh-CN"/>
        </w:rPr>
      </w:pPr>
    </w:p>
    <w:p w14:paraId="7A283B44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b/>
          <w:bCs/>
          <w:i/>
          <w:u w:val="single"/>
          <w:lang w:eastAsia="zh-CN"/>
        </w:rPr>
      </w:pPr>
      <w:r w:rsidRPr="00472664">
        <w:rPr>
          <w:rFonts w:ascii="Calibri" w:hAnsi="Calibri" w:cs="Calibri"/>
          <w:b/>
          <w:bCs/>
          <w:i/>
          <w:u w:val="single"/>
          <w:lang w:eastAsia="zh-CN"/>
        </w:rPr>
        <w:t>Misc proposals</w:t>
      </w:r>
    </w:p>
    <w:p w14:paraId="74768FDE" w14:textId="77777777" w:rsidR="002F056D" w:rsidRPr="00472664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i/>
          <w:color w:val="00B050"/>
          <w:szCs w:val="22"/>
          <w:lang w:eastAsia="zh-CN"/>
        </w:rPr>
      </w:pPr>
      <w:r w:rsidRPr="00472664">
        <w:rPr>
          <w:rFonts w:ascii="Calibri" w:hAnsi="Calibri" w:cs="Calibri"/>
          <w:i/>
          <w:color w:val="00B050"/>
          <w:szCs w:val="22"/>
          <w:lang w:eastAsia="zh-CN"/>
        </w:rPr>
        <w:t xml:space="preserve">NG-RAN can configure RAN visible QoE for only a subset of those metrics which are already configured as part of legacy QoE configuration. </w:t>
      </w:r>
    </w:p>
    <w:p w14:paraId="037A34B5" w14:textId="77777777" w:rsidR="002F056D" w:rsidRDefault="002F056D" w:rsidP="002F056D">
      <w:pPr>
        <w:overflowPunct w:val="0"/>
        <w:autoSpaceDE w:val="0"/>
        <w:autoSpaceDN w:val="0"/>
        <w:adjustRightInd w:val="0"/>
        <w:spacing w:after="120"/>
        <w:ind w:leftChars="300" w:left="600"/>
        <w:jc w:val="both"/>
        <w:textAlignment w:val="baseline"/>
        <w:rPr>
          <w:rFonts w:ascii="Calibri" w:hAnsi="Calibri" w:cs="Calibri"/>
          <w:i/>
          <w:color w:val="00B050"/>
          <w:szCs w:val="22"/>
          <w:lang w:eastAsia="zh-CN"/>
        </w:rPr>
      </w:pPr>
      <w:r w:rsidRPr="00472664">
        <w:rPr>
          <w:rFonts w:ascii="Calibri" w:hAnsi="Calibri" w:cs="Calibri"/>
          <w:i/>
          <w:color w:val="00B050"/>
          <w:szCs w:val="22"/>
          <w:lang w:eastAsia="zh-CN"/>
        </w:rPr>
        <w:t>The OAM sends a list of the available RAN visible QoE metrics to the RAN node, outside the legacy QoE configuration container.</w:t>
      </w:r>
    </w:p>
    <w:p w14:paraId="0244BD61" w14:textId="27B203B3" w:rsidR="002F056D" w:rsidRDefault="00424D7A" w:rsidP="002F056D">
      <w:pPr>
        <w:rPr>
          <w:lang w:eastAsia="ko-KR"/>
        </w:rPr>
      </w:pPr>
      <w:r>
        <w:rPr>
          <w:lang w:eastAsia="ko-KR"/>
        </w:rPr>
        <w:lastRenderedPageBreak/>
        <w:t xml:space="preserve">RAN2 needs to figure out </w:t>
      </w:r>
      <w:r w:rsidR="00022683">
        <w:rPr>
          <w:lang w:eastAsia="ko-KR"/>
        </w:rPr>
        <w:t xml:space="preserve">RAN </w:t>
      </w:r>
      <w:r>
        <w:rPr>
          <w:lang w:eastAsia="ko-KR"/>
        </w:rPr>
        <w:t xml:space="preserve">signaling impact to support </w:t>
      </w:r>
      <w:r w:rsidR="002F056D">
        <w:rPr>
          <w:lang w:eastAsia="ko-KR"/>
        </w:rPr>
        <w:t>RV QoE for RAN use.</w:t>
      </w:r>
      <w:r w:rsidR="002F056D">
        <w:rPr>
          <w:rFonts w:hint="eastAsia"/>
          <w:lang w:eastAsia="ko-KR"/>
        </w:rPr>
        <w:t xml:space="preserve"> A</w:t>
      </w:r>
      <w:r w:rsidR="002F056D">
        <w:rPr>
          <w:lang w:eastAsia="ko-KR"/>
        </w:rPr>
        <w:t xml:space="preserve">ccording to above RAN3 agreements, the RV QoE configuration </w:t>
      </w:r>
      <w:r>
        <w:rPr>
          <w:lang w:eastAsia="ko-KR"/>
        </w:rPr>
        <w:t xml:space="preserve">indicates </w:t>
      </w:r>
      <w:r w:rsidR="002F056D" w:rsidRPr="002F056D">
        <w:rPr>
          <w:lang w:eastAsia="ko-KR"/>
        </w:rPr>
        <w:t>RAN visible QoE metrics, service type, and measurement ID.</w:t>
      </w:r>
      <w:r>
        <w:rPr>
          <w:lang w:eastAsia="ko-KR"/>
        </w:rPr>
        <w:t xml:space="preserve"> Then these three parameters should be indicated by DL RRC message for RV QoE configuration.</w:t>
      </w:r>
    </w:p>
    <w:p w14:paraId="52526607" w14:textId="7CB08599" w:rsidR="002F056D" w:rsidRDefault="002F056D" w:rsidP="002F056D">
      <w:pPr>
        <w:rPr>
          <w:b/>
          <w:lang w:eastAsia="ko-KR"/>
        </w:rPr>
      </w:pPr>
      <w:r w:rsidRPr="002F056D">
        <w:rPr>
          <w:b/>
          <w:lang w:eastAsia="ko-KR"/>
        </w:rPr>
        <w:t>Proposal 1:</w:t>
      </w:r>
      <w:r w:rsidRPr="002F056D">
        <w:rPr>
          <w:b/>
        </w:rPr>
        <w:t xml:space="preserve"> </w:t>
      </w:r>
      <w:r w:rsidRPr="002F056D">
        <w:rPr>
          <w:b/>
          <w:lang w:eastAsia="ko-KR"/>
        </w:rPr>
        <w:t>The RV QoE configuration includes RAN visible QoE metrics, service type, and measurement ID.</w:t>
      </w:r>
    </w:p>
    <w:p w14:paraId="444A9CA5" w14:textId="64B7EC49" w:rsidR="002F056D" w:rsidRPr="002F056D" w:rsidRDefault="00A64D2E" w:rsidP="002F056D">
      <w:pPr>
        <w:rPr>
          <w:lang w:eastAsia="ko-KR"/>
        </w:rPr>
      </w:pPr>
      <w:r>
        <w:rPr>
          <w:lang w:eastAsia="ko-KR"/>
        </w:rPr>
        <w:t xml:space="preserve">In our view, UE APP should be able to generate and deliver separate containers for </w:t>
      </w:r>
      <w:r w:rsidR="002F056D">
        <w:rPr>
          <w:lang w:eastAsia="ko-KR"/>
        </w:rPr>
        <w:t xml:space="preserve">RV QoE measurements </w:t>
      </w:r>
      <w:r>
        <w:rPr>
          <w:lang w:eastAsia="ko-KR"/>
        </w:rPr>
        <w:t xml:space="preserve">and </w:t>
      </w:r>
      <w:r w:rsidR="005E37F9">
        <w:rPr>
          <w:lang w:eastAsia="ko-KR"/>
        </w:rPr>
        <w:t>legacy QoE measurement</w:t>
      </w:r>
      <w:r>
        <w:rPr>
          <w:lang w:eastAsia="ko-KR"/>
        </w:rPr>
        <w:t>s to UE RRC. To enable such separation</w:t>
      </w:r>
      <w:r w:rsidR="005E37F9">
        <w:rPr>
          <w:lang w:eastAsia="ko-KR"/>
        </w:rPr>
        <w:t xml:space="preserve">, the UE APP needs a different QoE measurement configuration ID. To this end, the UE should forward the RV QoE configuration </w:t>
      </w:r>
      <w:r>
        <w:rPr>
          <w:lang w:eastAsia="ko-KR"/>
        </w:rPr>
        <w:t xml:space="preserve">received by RAN </w:t>
      </w:r>
      <w:r w:rsidR="005E37F9">
        <w:rPr>
          <w:lang w:eastAsia="ko-KR"/>
        </w:rPr>
        <w:t xml:space="preserve">to upper layer (e.g. UE APP) </w:t>
      </w:r>
      <w:r>
        <w:rPr>
          <w:lang w:eastAsia="ko-KR"/>
        </w:rPr>
        <w:t>when</w:t>
      </w:r>
      <w:r w:rsidR="005E37F9">
        <w:rPr>
          <w:lang w:eastAsia="ko-KR"/>
        </w:rPr>
        <w:t xml:space="preserve"> RV QoE configured</w:t>
      </w:r>
      <w:r>
        <w:rPr>
          <w:lang w:eastAsia="ko-KR"/>
        </w:rPr>
        <w:t xml:space="preserve"> b</w:t>
      </w:r>
      <w:r w:rsidR="00022683">
        <w:rPr>
          <w:lang w:eastAsia="ko-KR"/>
        </w:rPr>
        <w:t>y</w:t>
      </w:r>
      <w:r>
        <w:rPr>
          <w:lang w:eastAsia="ko-KR"/>
        </w:rPr>
        <w:t xml:space="preserve"> the RAN</w:t>
      </w:r>
      <w:r w:rsidR="005E37F9">
        <w:rPr>
          <w:lang w:eastAsia="ko-KR"/>
        </w:rPr>
        <w:t>.</w:t>
      </w:r>
    </w:p>
    <w:p w14:paraId="418D03F1" w14:textId="18A130DA" w:rsidR="002F056D" w:rsidRDefault="002F056D" w:rsidP="002F056D">
      <w:pPr>
        <w:rPr>
          <w:b/>
          <w:lang w:eastAsia="ko-KR"/>
        </w:rPr>
      </w:pPr>
      <w:r w:rsidRPr="005E37F9">
        <w:rPr>
          <w:b/>
          <w:lang w:eastAsia="ko-KR"/>
        </w:rPr>
        <w:t xml:space="preserve">Proposal 2: The UE forwards the </w:t>
      </w:r>
      <w:r w:rsidR="00A64D2E">
        <w:rPr>
          <w:b/>
          <w:lang w:eastAsia="ko-KR"/>
        </w:rPr>
        <w:t xml:space="preserve">received </w:t>
      </w:r>
      <w:r w:rsidRPr="005E37F9">
        <w:rPr>
          <w:b/>
          <w:lang w:eastAsia="ko-KR"/>
        </w:rPr>
        <w:t xml:space="preserve">RV QoE configuration </w:t>
      </w:r>
      <w:r w:rsidR="00A64D2E">
        <w:rPr>
          <w:b/>
          <w:lang w:eastAsia="ko-KR"/>
        </w:rPr>
        <w:t xml:space="preserve">ID </w:t>
      </w:r>
      <w:r w:rsidRPr="005E37F9">
        <w:rPr>
          <w:b/>
          <w:lang w:eastAsia="ko-KR"/>
        </w:rPr>
        <w:t xml:space="preserve">to upper </w:t>
      </w:r>
      <w:r w:rsidR="00A64D2E">
        <w:rPr>
          <w:b/>
          <w:lang w:eastAsia="ko-KR"/>
        </w:rPr>
        <w:t xml:space="preserve">layers when </w:t>
      </w:r>
      <w:r w:rsidR="005E37F9" w:rsidRPr="005E37F9">
        <w:rPr>
          <w:b/>
          <w:lang w:eastAsia="ko-KR"/>
        </w:rPr>
        <w:t xml:space="preserve">RV QoE </w:t>
      </w:r>
      <w:r w:rsidR="00A64D2E">
        <w:rPr>
          <w:b/>
          <w:lang w:eastAsia="ko-KR"/>
        </w:rPr>
        <w:t xml:space="preserve">is </w:t>
      </w:r>
      <w:r w:rsidR="005E37F9" w:rsidRPr="005E37F9">
        <w:rPr>
          <w:b/>
          <w:lang w:eastAsia="ko-KR"/>
        </w:rPr>
        <w:t>configured</w:t>
      </w:r>
      <w:r w:rsidRPr="002F056D">
        <w:rPr>
          <w:b/>
          <w:lang w:eastAsia="ko-KR"/>
        </w:rPr>
        <w:t>.</w:t>
      </w:r>
      <w:r w:rsidR="00022683">
        <w:rPr>
          <w:b/>
          <w:lang w:eastAsia="ko-KR"/>
        </w:rPr>
        <w:t xml:space="preserve"> </w:t>
      </w:r>
    </w:p>
    <w:p w14:paraId="4DB38E5D" w14:textId="53CD210D" w:rsidR="005E37F9" w:rsidRPr="005E37F9" w:rsidRDefault="00022683" w:rsidP="002F056D">
      <w:pPr>
        <w:rPr>
          <w:lang w:eastAsia="ko-KR"/>
        </w:rPr>
      </w:pPr>
      <w:r>
        <w:rPr>
          <w:lang w:eastAsia="ko-KR"/>
        </w:rPr>
        <w:t xml:space="preserve">Once UE forwards the received RV QoE configuration ID to UE APP layers, the UE expects the APP layers to provide the corresponding measurement container. </w:t>
      </w:r>
      <w:r w:rsidR="005E37F9">
        <w:rPr>
          <w:lang w:eastAsia="ko-KR"/>
        </w:rPr>
        <w:t xml:space="preserve">If the UE </w:t>
      </w:r>
      <w:r>
        <w:rPr>
          <w:lang w:eastAsia="ko-KR"/>
        </w:rPr>
        <w:t xml:space="preserve">is allowed to </w:t>
      </w:r>
      <w:r w:rsidR="005E37F9">
        <w:rPr>
          <w:lang w:eastAsia="ko-KR"/>
        </w:rPr>
        <w:t>carry RV QoE related containers on</w:t>
      </w:r>
      <w:r>
        <w:rPr>
          <w:lang w:eastAsia="ko-KR"/>
        </w:rPr>
        <w:t xml:space="preserve">ly with a </w:t>
      </w:r>
      <w:r w:rsidR="005E37F9">
        <w:rPr>
          <w:lang w:eastAsia="ko-KR"/>
        </w:rPr>
        <w:t xml:space="preserve">legacy QoE related container, </w:t>
      </w:r>
      <w:r>
        <w:rPr>
          <w:lang w:eastAsia="ko-KR"/>
        </w:rPr>
        <w:t xml:space="preserve">the UE may need to buffer the </w:t>
      </w:r>
      <w:r w:rsidR="00424D7A">
        <w:rPr>
          <w:lang w:eastAsia="ko-KR"/>
        </w:rPr>
        <w:t xml:space="preserve">RV QoE measurement </w:t>
      </w:r>
      <w:r>
        <w:rPr>
          <w:lang w:eastAsia="ko-KR"/>
        </w:rPr>
        <w:t xml:space="preserve">until legacy QoE related container is received from the App layer. Such buffering </w:t>
      </w:r>
      <w:r w:rsidR="00424D7A">
        <w:rPr>
          <w:lang w:eastAsia="ko-KR"/>
        </w:rPr>
        <w:t xml:space="preserve">incurs inefficiency and </w:t>
      </w:r>
      <w:r>
        <w:rPr>
          <w:lang w:eastAsia="ko-KR"/>
        </w:rPr>
        <w:t xml:space="preserve">unnecessary </w:t>
      </w:r>
      <w:r w:rsidR="00424D7A">
        <w:rPr>
          <w:lang w:eastAsia="ko-KR"/>
        </w:rPr>
        <w:t xml:space="preserve">complexity to the UE implementation. To </w:t>
      </w:r>
      <w:r>
        <w:rPr>
          <w:lang w:eastAsia="ko-KR"/>
        </w:rPr>
        <w:t xml:space="preserve">avoid the inefficiency and complexity, it is desirable to support an independent triggering of QoE related measurements, irrespective of triggering of legacy QoE measurement.   </w:t>
      </w:r>
    </w:p>
    <w:p w14:paraId="59DD150F" w14:textId="7F79DB77" w:rsidR="002F056D" w:rsidRPr="00022683" w:rsidRDefault="002F056D" w:rsidP="002F056D">
      <w:pPr>
        <w:rPr>
          <w:b/>
          <w:lang w:val="en-US" w:eastAsia="ko-KR"/>
        </w:rPr>
      </w:pPr>
      <w:r w:rsidRPr="002F056D">
        <w:rPr>
          <w:b/>
          <w:lang w:eastAsia="ko-KR"/>
        </w:rPr>
        <w:t xml:space="preserve">Proposal 3: </w:t>
      </w:r>
      <w:r w:rsidR="00022683">
        <w:rPr>
          <w:b/>
          <w:lang w:eastAsia="ko-KR"/>
        </w:rPr>
        <w:t xml:space="preserve">To support </w:t>
      </w:r>
      <w:r w:rsidR="00022683" w:rsidRPr="003B1343">
        <w:rPr>
          <w:b/>
          <w:lang w:eastAsia="ko-KR"/>
        </w:rPr>
        <w:t xml:space="preserve">independent triggering of QoE related measurements, irrespective of triggering of legacy QoE measurement.  </w:t>
      </w:r>
    </w:p>
    <w:p w14:paraId="3E20F14F" w14:textId="77777777" w:rsidR="002F056D" w:rsidRPr="00472664" w:rsidRDefault="002F056D" w:rsidP="002F056D">
      <w:pPr>
        <w:rPr>
          <w:lang w:eastAsia="ko-KR"/>
        </w:rPr>
      </w:pPr>
    </w:p>
    <w:p w14:paraId="2ECBF6BD" w14:textId="77777777" w:rsidR="00D4259F" w:rsidRDefault="00B02523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3</w:t>
      </w:r>
      <w:r>
        <w:rPr>
          <w:rFonts w:eastAsia="맑은 고딕"/>
          <w:lang w:val="en-US" w:eastAsia="ko-KR"/>
        </w:rPr>
        <w:t>.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Conclusion</w:t>
      </w:r>
    </w:p>
    <w:p w14:paraId="61C58EFE" w14:textId="77777777" w:rsidR="00D4259F" w:rsidRDefault="00B02523">
      <w:pPr>
        <w:rPr>
          <w:lang w:eastAsia="ko-KR"/>
        </w:rPr>
      </w:pPr>
      <w:r>
        <w:rPr>
          <w:lang w:eastAsia="ko-KR"/>
        </w:rPr>
        <w:t>In this contribution, we have the following proposals:</w:t>
      </w:r>
    </w:p>
    <w:p w14:paraId="509DE245" w14:textId="77777777" w:rsidR="00022683" w:rsidRDefault="00022683" w:rsidP="00022683">
      <w:pPr>
        <w:rPr>
          <w:b/>
          <w:lang w:eastAsia="ko-KR"/>
        </w:rPr>
      </w:pPr>
      <w:r w:rsidRPr="002F056D">
        <w:rPr>
          <w:b/>
          <w:lang w:eastAsia="ko-KR"/>
        </w:rPr>
        <w:t>Proposal 1:</w:t>
      </w:r>
      <w:r w:rsidRPr="002F056D">
        <w:rPr>
          <w:b/>
        </w:rPr>
        <w:t xml:space="preserve"> </w:t>
      </w:r>
      <w:r w:rsidRPr="002F056D">
        <w:rPr>
          <w:b/>
          <w:lang w:eastAsia="ko-KR"/>
        </w:rPr>
        <w:t>The RV QoE configuration includes RAN visible QoE metrics, service type, and measurement ID.</w:t>
      </w:r>
    </w:p>
    <w:p w14:paraId="53FE44FC" w14:textId="619996DC" w:rsidR="00022683" w:rsidRDefault="00022683" w:rsidP="00022683">
      <w:pPr>
        <w:rPr>
          <w:b/>
          <w:lang w:eastAsia="ko-KR"/>
        </w:rPr>
      </w:pPr>
      <w:r w:rsidRPr="005E37F9">
        <w:rPr>
          <w:b/>
          <w:lang w:eastAsia="ko-KR"/>
        </w:rPr>
        <w:t xml:space="preserve">Proposal 2: The UE forwards the </w:t>
      </w:r>
      <w:r>
        <w:rPr>
          <w:b/>
          <w:lang w:eastAsia="ko-KR"/>
        </w:rPr>
        <w:t xml:space="preserve">received </w:t>
      </w:r>
      <w:r w:rsidRPr="005E37F9">
        <w:rPr>
          <w:b/>
          <w:lang w:eastAsia="ko-KR"/>
        </w:rPr>
        <w:t xml:space="preserve">RV QoE configuration </w:t>
      </w:r>
      <w:r>
        <w:rPr>
          <w:b/>
          <w:lang w:eastAsia="ko-KR"/>
        </w:rPr>
        <w:t xml:space="preserve">ID </w:t>
      </w:r>
      <w:r w:rsidRPr="005E37F9">
        <w:rPr>
          <w:b/>
          <w:lang w:eastAsia="ko-KR"/>
        </w:rPr>
        <w:t xml:space="preserve">to upper </w:t>
      </w:r>
      <w:r>
        <w:rPr>
          <w:b/>
          <w:lang w:eastAsia="ko-KR"/>
        </w:rPr>
        <w:t xml:space="preserve">layers when </w:t>
      </w:r>
      <w:bookmarkStart w:id="0" w:name="_GoBack"/>
      <w:bookmarkEnd w:id="0"/>
      <w:r w:rsidRPr="005E37F9">
        <w:rPr>
          <w:b/>
          <w:lang w:eastAsia="ko-KR"/>
        </w:rPr>
        <w:t xml:space="preserve">RV QoE </w:t>
      </w:r>
      <w:r>
        <w:rPr>
          <w:b/>
          <w:lang w:eastAsia="ko-KR"/>
        </w:rPr>
        <w:t xml:space="preserve">is </w:t>
      </w:r>
      <w:r w:rsidRPr="005E37F9">
        <w:rPr>
          <w:b/>
          <w:lang w:eastAsia="ko-KR"/>
        </w:rPr>
        <w:t>configured</w:t>
      </w:r>
      <w:r w:rsidRPr="002F056D">
        <w:rPr>
          <w:b/>
          <w:lang w:eastAsia="ko-KR"/>
        </w:rPr>
        <w:t>.</w:t>
      </w:r>
      <w:r>
        <w:rPr>
          <w:b/>
          <w:lang w:eastAsia="ko-KR"/>
        </w:rPr>
        <w:t xml:space="preserve"> </w:t>
      </w:r>
    </w:p>
    <w:p w14:paraId="5CA9622B" w14:textId="77777777" w:rsidR="00022683" w:rsidRPr="006941D8" w:rsidRDefault="00022683" w:rsidP="00022683">
      <w:pPr>
        <w:rPr>
          <w:b/>
          <w:lang w:val="en-US" w:eastAsia="ko-KR"/>
        </w:rPr>
      </w:pPr>
      <w:r w:rsidRPr="002F056D">
        <w:rPr>
          <w:b/>
          <w:lang w:eastAsia="ko-KR"/>
        </w:rPr>
        <w:t xml:space="preserve">Proposal 3: </w:t>
      </w:r>
      <w:r>
        <w:rPr>
          <w:b/>
          <w:lang w:eastAsia="ko-KR"/>
        </w:rPr>
        <w:t xml:space="preserve">To support </w:t>
      </w:r>
      <w:r w:rsidRPr="006941D8">
        <w:rPr>
          <w:b/>
          <w:lang w:eastAsia="ko-KR"/>
        </w:rPr>
        <w:t xml:space="preserve">independent triggering of QoE related measurements, irrespective of triggering of legacy QoE measurement.  </w:t>
      </w:r>
    </w:p>
    <w:p w14:paraId="0B093B36" w14:textId="77777777" w:rsidR="005B44D6" w:rsidRPr="002F056D" w:rsidRDefault="005B44D6" w:rsidP="00E142EE">
      <w:pPr>
        <w:rPr>
          <w:b/>
          <w:bCs/>
          <w:lang w:val="en-US" w:eastAsia="ko-KR"/>
        </w:rPr>
      </w:pPr>
    </w:p>
    <w:p w14:paraId="58C66F41" w14:textId="2F72E86D" w:rsidR="000568CE" w:rsidRDefault="00D75919" w:rsidP="002F056D">
      <w:pPr>
        <w:pStyle w:val="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sectPr w:rsidR="000568CE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0059F" w14:textId="77777777" w:rsidR="000F5E0D" w:rsidRDefault="000F5E0D">
      <w:pPr>
        <w:pStyle w:val="1"/>
      </w:pPr>
      <w:r>
        <w:separator/>
      </w:r>
    </w:p>
  </w:endnote>
  <w:endnote w:type="continuationSeparator" w:id="0">
    <w:p w14:paraId="42C8F32D" w14:textId="77777777" w:rsidR="000F5E0D" w:rsidRDefault="000F5E0D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2F134" w14:textId="77777777" w:rsidR="00D4259F" w:rsidRDefault="00B025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0B6C09A6" w14:textId="77777777" w:rsidR="00D4259F" w:rsidRDefault="00D4259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56A5A" w14:textId="58EB082D" w:rsidR="00D4259F" w:rsidRDefault="00B025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B1343">
      <w:rPr>
        <w:rStyle w:val="af1"/>
      </w:rPr>
      <w:t>2</w:t>
    </w:r>
    <w:r>
      <w:rPr>
        <w:rStyle w:val="af1"/>
      </w:rPr>
      <w:fldChar w:fldCharType="end"/>
    </w:r>
  </w:p>
  <w:p w14:paraId="0B1DF563" w14:textId="77777777" w:rsidR="00D4259F" w:rsidRDefault="00D4259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01B7A" w14:textId="77777777" w:rsidR="000F5E0D" w:rsidRDefault="000F5E0D">
      <w:pPr>
        <w:pStyle w:val="1"/>
      </w:pPr>
      <w:r>
        <w:separator/>
      </w:r>
    </w:p>
  </w:footnote>
  <w:footnote w:type="continuationSeparator" w:id="0">
    <w:p w14:paraId="13D83D29" w14:textId="77777777" w:rsidR="000F5E0D" w:rsidRDefault="000F5E0D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8pt;height:9.8pt" o:bullet="t">
        <v:imagedata r:id="rId1" o:title="artB7FE"/>
      </v:shape>
    </w:pict>
  </w:numPicBullet>
  <w:abstractNum w:abstractNumId="0">
    <w:nsid w:val="036A1D08"/>
    <w:multiLevelType w:val="hybridMultilevel"/>
    <w:tmpl w:val="EBC230BA"/>
    <w:lvl w:ilvl="0" w:tplc="B4301580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826AD2"/>
    <w:multiLevelType w:val="hybridMultilevel"/>
    <w:tmpl w:val="C65E8396"/>
    <w:lvl w:ilvl="0" w:tplc="DC82F8E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10272A"/>
    <w:multiLevelType w:val="hybridMultilevel"/>
    <w:tmpl w:val="3E7EF73C"/>
    <w:lvl w:ilvl="0" w:tplc="587CED9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C85ADE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A8C46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8C93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2E1B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E46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C0B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22CB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C673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7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A101D69"/>
    <w:multiLevelType w:val="hybridMultilevel"/>
    <w:tmpl w:val="B59CA362"/>
    <w:lvl w:ilvl="0" w:tplc="12AA6DFC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BCC6FB6"/>
    <w:multiLevelType w:val="hybridMultilevel"/>
    <w:tmpl w:val="DDFA50AE"/>
    <w:lvl w:ilvl="0" w:tplc="F4E6D884">
      <w:start w:val="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3">
    <w:nsid w:val="3FA71E76"/>
    <w:multiLevelType w:val="hybridMultilevel"/>
    <w:tmpl w:val="6ED45136"/>
    <w:lvl w:ilvl="0" w:tplc="4CBAE8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7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D332B59"/>
    <w:multiLevelType w:val="hybridMultilevel"/>
    <w:tmpl w:val="174AD6F8"/>
    <w:lvl w:ilvl="0" w:tplc="7B52785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6">
    <w:nsid w:val="67A57192"/>
    <w:multiLevelType w:val="multilevel"/>
    <w:tmpl w:val="67A5719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8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2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4"/>
  </w:num>
  <w:num w:numId="3">
    <w:abstractNumId w:val="27"/>
  </w:num>
  <w:num w:numId="4">
    <w:abstractNumId w:val="41"/>
  </w:num>
  <w:num w:numId="5">
    <w:abstractNumId w:val="28"/>
  </w:num>
  <w:num w:numId="6">
    <w:abstractNumId w:val="40"/>
  </w:num>
  <w:num w:numId="7">
    <w:abstractNumId w:val="22"/>
  </w:num>
  <w:num w:numId="8">
    <w:abstractNumId w:val="35"/>
  </w:num>
  <w:num w:numId="9">
    <w:abstractNumId w:val="16"/>
  </w:num>
  <w:num w:numId="10">
    <w:abstractNumId w:val="7"/>
  </w:num>
  <w:num w:numId="11">
    <w:abstractNumId w:val="20"/>
  </w:num>
  <w:num w:numId="12">
    <w:abstractNumId w:val="24"/>
  </w:num>
  <w:num w:numId="13">
    <w:abstractNumId w:val="31"/>
  </w:num>
  <w:num w:numId="14">
    <w:abstractNumId w:val="32"/>
  </w:num>
  <w:num w:numId="15">
    <w:abstractNumId w:val="29"/>
  </w:num>
  <w:num w:numId="16">
    <w:abstractNumId w:val="21"/>
  </w:num>
  <w:num w:numId="17">
    <w:abstractNumId w:val="39"/>
  </w:num>
  <w:num w:numId="18">
    <w:abstractNumId w:val="12"/>
  </w:num>
  <w:num w:numId="19">
    <w:abstractNumId w:val="18"/>
  </w:num>
  <w:num w:numId="20">
    <w:abstractNumId w:val="2"/>
  </w:num>
  <w:num w:numId="21">
    <w:abstractNumId w:val="26"/>
  </w:num>
  <w:num w:numId="22">
    <w:abstractNumId w:val="6"/>
  </w:num>
  <w:num w:numId="23">
    <w:abstractNumId w:val="19"/>
  </w:num>
  <w:num w:numId="24">
    <w:abstractNumId w:val="15"/>
  </w:num>
  <w:num w:numId="25">
    <w:abstractNumId w:val="42"/>
  </w:num>
  <w:num w:numId="26">
    <w:abstractNumId w:val="9"/>
  </w:num>
  <w:num w:numId="27">
    <w:abstractNumId w:val="33"/>
  </w:num>
  <w:num w:numId="28">
    <w:abstractNumId w:val="14"/>
  </w:num>
  <w:num w:numId="29">
    <w:abstractNumId w:val="10"/>
  </w:num>
  <w:num w:numId="30">
    <w:abstractNumId w:val="17"/>
  </w:num>
  <w:num w:numId="31">
    <w:abstractNumId w:val="1"/>
  </w:num>
  <w:num w:numId="32">
    <w:abstractNumId w:val="11"/>
  </w:num>
  <w:num w:numId="33">
    <w:abstractNumId w:val="0"/>
  </w:num>
  <w:num w:numId="34">
    <w:abstractNumId w:val="34"/>
  </w:num>
  <w:num w:numId="35">
    <w:abstractNumId w:val="8"/>
  </w:num>
  <w:num w:numId="36">
    <w:abstractNumId w:val="3"/>
  </w:num>
  <w:num w:numId="37">
    <w:abstractNumId w:val="37"/>
  </w:num>
  <w:num w:numId="38">
    <w:abstractNumId w:val="38"/>
  </w:num>
  <w:num w:numId="39">
    <w:abstractNumId w:val="30"/>
  </w:num>
  <w:num w:numId="40">
    <w:abstractNumId w:val="5"/>
  </w:num>
  <w:num w:numId="41">
    <w:abstractNumId w:val="23"/>
  </w:num>
  <w:num w:numId="42">
    <w:abstractNumId w:val="36"/>
  </w:num>
  <w:num w:numId="43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NqoFAJ0upUAtAAAA"/>
  </w:docVars>
  <w:rsids>
    <w:rsidRoot w:val="00D4259F"/>
    <w:rsid w:val="00022683"/>
    <w:rsid w:val="000256B8"/>
    <w:rsid w:val="00031BE5"/>
    <w:rsid w:val="00053FB6"/>
    <w:rsid w:val="000564A6"/>
    <w:rsid w:val="000568CE"/>
    <w:rsid w:val="000713E0"/>
    <w:rsid w:val="000A23BA"/>
    <w:rsid w:val="000A5405"/>
    <w:rsid w:val="000B21EE"/>
    <w:rsid w:val="000D1B87"/>
    <w:rsid w:val="000F0F11"/>
    <w:rsid w:val="000F54F3"/>
    <w:rsid w:val="000F5E0D"/>
    <w:rsid w:val="00103042"/>
    <w:rsid w:val="00103E65"/>
    <w:rsid w:val="0011623A"/>
    <w:rsid w:val="00146ED5"/>
    <w:rsid w:val="0016623B"/>
    <w:rsid w:val="00171366"/>
    <w:rsid w:val="00181491"/>
    <w:rsid w:val="001839B7"/>
    <w:rsid w:val="001844D9"/>
    <w:rsid w:val="00184B14"/>
    <w:rsid w:val="00187307"/>
    <w:rsid w:val="00197C74"/>
    <w:rsid w:val="001A4B76"/>
    <w:rsid w:val="001A7E19"/>
    <w:rsid w:val="001B20FB"/>
    <w:rsid w:val="001C06EF"/>
    <w:rsid w:val="001C3EA1"/>
    <w:rsid w:val="001D093F"/>
    <w:rsid w:val="001F0D95"/>
    <w:rsid w:val="001F769D"/>
    <w:rsid w:val="00207A6E"/>
    <w:rsid w:val="00216E7F"/>
    <w:rsid w:val="00253D5A"/>
    <w:rsid w:val="002610FB"/>
    <w:rsid w:val="00283CA5"/>
    <w:rsid w:val="00293496"/>
    <w:rsid w:val="002A33C1"/>
    <w:rsid w:val="002B70CF"/>
    <w:rsid w:val="002C2E5E"/>
    <w:rsid w:val="002D23EE"/>
    <w:rsid w:val="002D6FE5"/>
    <w:rsid w:val="002E1428"/>
    <w:rsid w:val="002F056D"/>
    <w:rsid w:val="002F298F"/>
    <w:rsid w:val="002F7B14"/>
    <w:rsid w:val="00305343"/>
    <w:rsid w:val="00321F7F"/>
    <w:rsid w:val="00334F9A"/>
    <w:rsid w:val="003545AC"/>
    <w:rsid w:val="00354813"/>
    <w:rsid w:val="00355328"/>
    <w:rsid w:val="00364353"/>
    <w:rsid w:val="00366CC5"/>
    <w:rsid w:val="003737FA"/>
    <w:rsid w:val="0038091A"/>
    <w:rsid w:val="00386E61"/>
    <w:rsid w:val="003A13EA"/>
    <w:rsid w:val="003B1343"/>
    <w:rsid w:val="003D4331"/>
    <w:rsid w:val="003F5ECB"/>
    <w:rsid w:val="003F612D"/>
    <w:rsid w:val="00403214"/>
    <w:rsid w:val="00424D7A"/>
    <w:rsid w:val="00426C63"/>
    <w:rsid w:val="00432CA6"/>
    <w:rsid w:val="00450F16"/>
    <w:rsid w:val="004511D0"/>
    <w:rsid w:val="00452E1E"/>
    <w:rsid w:val="004763D5"/>
    <w:rsid w:val="0048053E"/>
    <w:rsid w:val="00481AB0"/>
    <w:rsid w:val="00492F98"/>
    <w:rsid w:val="0049474F"/>
    <w:rsid w:val="004B7F0B"/>
    <w:rsid w:val="004C7359"/>
    <w:rsid w:val="004D32C7"/>
    <w:rsid w:val="004F37F5"/>
    <w:rsid w:val="004F6E85"/>
    <w:rsid w:val="004F72C2"/>
    <w:rsid w:val="00511FF5"/>
    <w:rsid w:val="005146EB"/>
    <w:rsid w:val="00514EF5"/>
    <w:rsid w:val="005174CF"/>
    <w:rsid w:val="00525BA2"/>
    <w:rsid w:val="00527004"/>
    <w:rsid w:val="00545736"/>
    <w:rsid w:val="00567D6D"/>
    <w:rsid w:val="00592C34"/>
    <w:rsid w:val="005A7EF0"/>
    <w:rsid w:val="005B44D6"/>
    <w:rsid w:val="005B5040"/>
    <w:rsid w:val="005B7CB2"/>
    <w:rsid w:val="005D5423"/>
    <w:rsid w:val="005D7750"/>
    <w:rsid w:val="005E21C0"/>
    <w:rsid w:val="005E37F9"/>
    <w:rsid w:val="00611539"/>
    <w:rsid w:val="00612C7B"/>
    <w:rsid w:val="00613498"/>
    <w:rsid w:val="006234AF"/>
    <w:rsid w:val="0063387B"/>
    <w:rsid w:val="0063502F"/>
    <w:rsid w:val="0063554F"/>
    <w:rsid w:val="006425E1"/>
    <w:rsid w:val="00642BF5"/>
    <w:rsid w:val="0066391C"/>
    <w:rsid w:val="0068043D"/>
    <w:rsid w:val="0068044F"/>
    <w:rsid w:val="00687858"/>
    <w:rsid w:val="006908D4"/>
    <w:rsid w:val="006957BB"/>
    <w:rsid w:val="006A059D"/>
    <w:rsid w:val="006B3D9A"/>
    <w:rsid w:val="006B45A6"/>
    <w:rsid w:val="006C66A4"/>
    <w:rsid w:val="006C7D94"/>
    <w:rsid w:val="00706CC5"/>
    <w:rsid w:val="00710418"/>
    <w:rsid w:val="0071164D"/>
    <w:rsid w:val="00713DBD"/>
    <w:rsid w:val="00726EF7"/>
    <w:rsid w:val="00732EF6"/>
    <w:rsid w:val="00733663"/>
    <w:rsid w:val="00736AE5"/>
    <w:rsid w:val="00742403"/>
    <w:rsid w:val="00774746"/>
    <w:rsid w:val="007758B1"/>
    <w:rsid w:val="007A25BC"/>
    <w:rsid w:val="007A7C25"/>
    <w:rsid w:val="007B39D1"/>
    <w:rsid w:val="007D6A0B"/>
    <w:rsid w:val="007E0FE7"/>
    <w:rsid w:val="007E30A7"/>
    <w:rsid w:val="007F5A53"/>
    <w:rsid w:val="008006D0"/>
    <w:rsid w:val="00804A92"/>
    <w:rsid w:val="008145AB"/>
    <w:rsid w:val="00815EC9"/>
    <w:rsid w:val="00817510"/>
    <w:rsid w:val="008214D1"/>
    <w:rsid w:val="0082185A"/>
    <w:rsid w:val="0082261A"/>
    <w:rsid w:val="00824946"/>
    <w:rsid w:val="00826AA0"/>
    <w:rsid w:val="00837D1B"/>
    <w:rsid w:val="00842964"/>
    <w:rsid w:val="00842FEB"/>
    <w:rsid w:val="00844D6C"/>
    <w:rsid w:val="00850FAF"/>
    <w:rsid w:val="0085627A"/>
    <w:rsid w:val="00876238"/>
    <w:rsid w:val="00887CA2"/>
    <w:rsid w:val="00894C50"/>
    <w:rsid w:val="00897E11"/>
    <w:rsid w:val="008B3E2D"/>
    <w:rsid w:val="008B62E2"/>
    <w:rsid w:val="008B70AF"/>
    <w:rsid w:val="008D3128"/>
    <w:rsid w:val="008E54E1"/>
    <w:rsid w:val="008E5641"/>
    <w:rsid w:val="008F1AE5"/>
    <w:rsid w:val="008F3703"/>
    <w:rsid w:val="00905784"/>
    <w:rsid w:val="00907399"/>
    <w:rsid w:val="0092099D"/>
    <w:rsid w:val="00921401"/>
    <w:rsid w:val="009271B9"/>
    <w:rsid w:val="009361AF"/>
    <w:rsid w:val="0096696E"/>
    <w:rsid w:val="009706B6"/>
    <w:rsid w:val="00973182"/>
    <w:rsid w:val="00990CBD"/>
    <w:rsid w:val="009A01B1"/>
    <w:rsid w:val="009A14E3"/>
    <w:rsid w:val="009A3526"/>
    <w:rsid w:val="009A4527"/>
    <w:rsid w:val="009A55AB"/>
    <w:rsid w:val="009B33F9"/>
    <w:rsid w:val="009C460E"/>
    <w:rsid w:val="009C7888"/>
    <w:rsid w:val="009E48A3"/>
    <w:rsid w:val="00A04781"/>
    <w:rsid w:val="00A05DCD"/>
    <w:rsid w:val="00A431F8"/>
    <w:rsid w:val="00A43B90"/>
    <w:rsid w:val="00A458CF"/>
    <w:rsid w:val="00A52A56"/>
    <w:rsid w:val="00A55314"/>
    <w:rsid w:val="00A62464"/>
    <w:rsid w:val="00A64D2E"/>
    <w:rsid w:val="00A660E8"/>
    <w:rsid w:val="00A70531"/>
    <w:rsid w:val="00A74CCC"/>
    <w:rsid w:val="00A76469"/>
    <w:rsid w:val="00A774D1"/>
    <w:rsid w:val="00A86CF0"/>
    <w:rsid w:val="00A902C9"/>
    <w:rsid w:val="00AA087D"/>
    <w:rsid w:val="00AB271A"/>
    <w:rsid w:val="00AC135D"/>
    <w:rsid w:val="00AD3406"/>
    <w:rsid w:val="00AD3AB2"/>
    <w:rsid w:val="00AD55C3"/>
    <w:rsid w:val="00AE1494"/>
    <w:rsid w:val="00AE5E3F"/>
    <w:rsid w:val="00AF0718"/>
    <w:rsid w:val="00AF5C49"/>
    <w:rsid w:val="00B01C24"/>
    <w:rsid w:val="00B02523"/>
    <w:rsid w:val="00B06C07"/>
    <w:rsid w:val="00B20FAB"/>
    <w:rsid w:val="00B22BA2"/>
    <w:rsid w:val="00B26D81"/>
    <w:rsid w:val="00B377B9"/>
    <w:rsid w:val="00B37B2D"/>
    <w:rsid w:val="00B503F2"/>
    <w:rsid w:val="00B50A7A"/>
    <w:rsid w:val="00B566D2"/>
    <w:rsid w:val="00B644F2"/>
    <w:rsid w:val="00B655B4"/>
    <w:rsid w:val="00B7362E"/>
    <w:rsid w:val="00B74E42"/>
    <w:rsid w:val="00B7702C"/>
    <w:rsid w:val="00B77CE3"/>
    <w:rsid w:val="00B85B39"/>
    <w:rsid w:val="00B86050"/>
    <w:rsid w:val="00B90738"/>
    <w:rsid w:val="00BA68C8"/>
    <w:rsid w:val="00BE021B"/>
    <w:rsid w:val="00BE14BC"/>
    <w:rsid w:val="00BE405B"/>
    <w:rsid w:val="00BF2F0C"/>
    <w:rsid w:val="00C11CBC"/>
    <w:rsid w:val="00C200FB"/>
    <w:rsid w:val="00C40636"/>
    <w:rsid w:val="00C50075"/>
    <w:rsid w:val="00C511EB"/>
    <w:rsid w:val="00C57171"/>
    <w:rsid w:val="00C73AA9"/>
    <w:rsid w:val="00C8578A"/>
    <w:rsid w:val="00C920DF"/>
    <w:rsid w:val="00C94C09"/>
    <w:rsid w:val="00C95B22"/>
    <w:rsid w:val="00CC1CC0"/>
    <w:rsid w:val="00CC67F7"/>
    <w:rsid w:val="00CC6BE3"/>
    <w:rsid w:val="00CC6FBE"/>
    <w:rsid w:val="00CD3501"/>
    <w:rsid w:val="00CE19A1"/>
    <w:rsid w:val="00CE2E77"/>
    <w:rsid w:val="00CE3E20"/>
    <w:rsid w:val="00CE4798"/>
    <w:rsid w:val="00CE50E6"/>
    <w:rsid w:val="00CF1DAE"/>
    <w:rsid w:val="00CF3A80"/>
    <w:rsid w:val="00CF560D"/>
    <w:rsid w:val="00D00C0F"/>
    <w:rsid w:val="00D4259F"/>
    <w:rsid w:val="00D45B3B"/>
    <w:rsid w:val="00D51148"/>
    <w:rsid w:val="00D600E4"/>
    <w:rsid w:val="00D62C63"/>
    <w:rsid w:val="00D75919"/>
    <w:rsid w:val="00D915E7"/>
    <w:rsid w:val="00D91D1D"/>
    <w:rsid w:val="00D94116"/>
    <w:rsid w:val="00DF5284"/>
    <w:rsid w:val="00E142EE"/>
    <w:rsid w:val="00E1436A"/>
    <w:rsid w:val="00E22045"/>
    <w:rsid w:val="00E366B8"/>
    <w:rsid w:val="00E43CF0"/>
    <w:rsid w:val="00E56F56"/>
    <w:rsid w:val="00E70DDE"/>
    <w:rsid w:val="00E8227B"/>
    <w:rsid w:val="00E824BB"/>
    <w:rsid w:val="00E945F8"/>
    <w:rsid w:val="00E94ED4"/>
    <w:rsid w:val="00EA15BF"/>
    <w:rsid w:val="00EC686A"/>
    <w:rsid w:val="00ED3648"/>
    <w:rsid w:val="00EE60FE"/>
    <w:rsid w:val="00EF3FB7"/>
    <w:rsid w:val="00F12D13"/>
    <w:rsid w:val="00F25F47"/>
    <w:rsid w:val="00F26412"/>
    <w:rsid w:val="00F269EA"/>
    <w:rsid w:val="00F30D93"/>
    <w:rsid w:val="00F362B5"/>
    <w:rsid w:val="00F37282"/>
    <w:rsid w:val="00F54A6E"/>
    <w:rsid w:val="00F6290E"/>
    <w:rsid w:val="00F66802"/>
    <w:rsid w:val="00F668C0"/>
    <w:rsid w:val="00F7387C"/>
    <w:rsid w:val="00F74EAC"/>
    <w:rsid w:val="00F83A0C"/>
    <w:rsid w:val="00F92534"/>
    <w:rsid w:val="00FA6F1B"/>
    <w:rsid w:val="00FD192F"/>
    <w:rsid w:val="00FD6AD1"/>
    <w:rsid w:val="00FE0BFD"/>
    <w:rsid w:val="00FF26A9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B551A9C"/>
  <w15:chartTrackingRefBased/>
  <w15:docId w15:val="{02EEA7A4-E362-4CC1-9741-66C75C4E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qFormat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2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3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3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4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5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uiPriority w:val="9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5">
    <w:name w:val="목록 단락 Char"/>
    <w:link w:val="afa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2">
    <w:name w:val="메모 텍스트 Char"/>
    <w:basedOn w:val="a0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"/>
    <w:next w:val="Doc-text2"/>
    <w:qFormat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c">
    <w:name w:val="Strong"/>
    <w:basedOn w:val="a0"/>
    <w:uiPriority w:val="22"/>
    <w:qFormat/>
    <w:rsid w:val="00907399"/>
    <w:rPr>
      <w:b/>
      <w:bCs/>
    </w:rPr>
  </w:style>
  <w:style w:type="character" w:customStyle="1" w:styleId="Char0">
    <w:name w:val="바닥글 Char"/>
    <w:link w:val="a4"/>
    <w:qFormat/>
    <w:rsid w:val="006B3D9A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13647-E4B9-4A59-B14B-9B6A90605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최시영/선임연구원/미래기술센터 C&amp;M표준(연)5G무선통신표준Task(see0.choi@lge.com)</cp:lastModifiedBy>
  <cp:revision>3</cp:revision>
  <cp:lastPrinted>2014-08-09T03:01:00Z</cp:lastPrinted>
  <dcterms:created xsi:type="dcterms:W3CDTF">2022-01-11T11:54:00Z</dcterms:created>
  <dcterms:modified xsi:type="dcterms:W3CDTF">2022-01-11T11:56:00Z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